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911"/>
        <w:gridCol w:w="851"/>
        <w:gridCol w:w="283"/>
      </w:tblGrid>
      <w:tr w:rsidR="00B45503" w:rsidRPr="00855D38" w:rsidTr="00A635DB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52BF6391" wp14:editId="135B9F99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B45503" w:rsidRPr="00855D38" w:rsidTr="007F155E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503" w:rsidRPr="00855D38" w:rsidRDefault="00682336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24.06.2024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5503" w:rsidRPr="00855D38" w:rsidRDefault="00682336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47</w:t>
            </w: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D27DED" w:rsidRDefault="00536AB8" w:rsidP="00536AB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Об утверждении перечня помещений,</w:t>
            </w:r>
          </w:p>
          <w:p w:rsidR="00D27DED" w:rsidRDefault="00536AB8" w:rsidP="00536AB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предоставляемых зарегистрированным кандидатам,</w:t>
            </w:r>
          </w:p>
          <w:p w:rsidR="00D27DED" w:rsidRDefault="00536AB8" w:rsidP="00536AB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их доверенным лицам, политическим партиям,</w:t>
            </w:r>
          </w:p>
          <w:p w:rsidR="00D27DED" w:rsidRDefault="00536AB8" w:rsidP="00536AB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выдвинувшим зарегистрированных кандидатов,</w:t>
            </w:r>
          </w:p>
          <w:p w:rsidR="00D27DED" w:rsidRDefault="00536AB8" w:rsidP="00536AB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для проведения агитационных публичных мероприятий</w:t>
            </w:r>
          </w:p>
          <w:p w:rsidR="00D27DED" w:rsidRDefault="00536AB8" w:rsidP="00536AB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при проведении выборов депутатов Совета</w:t>
            </w:r>
          </w:p>
          <w:p w:rsidR="00D27DED" w:rsidRDefault="00536AB8" w:rsidP="00536AB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Николенского сельского поселения</w:t>
            </w:r>
          </w:p>
          <w:p w:rsidR="00B45503" w:rsidRPr="009366C8" w:rsidRDefault="00536AB8" w:rsidP="00D27DED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Гулькевичского района</w:t>
            </w:r>
            <w:r w:rsidR="00AD3FD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пятого созыва</w:t>
            </w: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40719F" w:rsidRDefault="006B0B97" w:rsidP="0040719F">
      <w:pPr>
        <w:tabs>
          <w:tab w:val="left" w:pos="720"/>
        </w:tabs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6B0B97">
        <w:rPr>
          <w:kern w:val="1"/>
          <w:sz w:val="28"/>
          <w:szCs w:val="28"/>
          <w:lang w:eastAsia="ar-SA"/>
        </w:rPr>
        <w:t>В</w:t>
      </w:r>
      <w:r w:rsidR="00F64756">
        <w:rPr>
          <w:kern w:val="1"/>
          <w:sz w:val="28"/>
          <w:szCs w:val="28"/>
          <w:lang w:eastAsia="ar-SA"/>
        </w:rPr>
        <w:t xml:space="preserve"> соответствии с частью 1 статьи 37 Закона Краснодарского края </w:t>
      </w:r>
      <w:r w:rsidR="00D27DED">
        <w:rPr>
          <w:kern w:val="1"/>
          <w:sz w:val="28"/>
          <w:szCs w:val="28"/>
          <w:lang w:eastAsia="ar-SA"/>
        </w:rPr>
        <w:t xml:space="preserve">       </w:t>
      </w:r>
      <w:r w:rsidR="0040719F">
        <w:rPr>
          <w:kern w:val="1"/>
          <w:sz w:val="28"/>
          <w:szCs w:val="28"/>
          <w:lang w:eastAsia="ar-SA"/>
        </w:rPr>
        <w:t xml:space="preserve"> </w:t>
      </w:r>
      <w:r w:rsidR="00F64756">
        <w:rPr>
          <w:kern w:val="1"/>
          <w:sz w:val="28"/>
          <w:szCs w:val="28"/>
          <w:lang w:eastAsia="ar-SA"/>
        </w:rPr>
        <w:t>от 26 декабря 2005 г</w:t>
      </w:r>
      <w:r w:rsidR="00D27DED">
        <w:rPr>
          <w:kern w:val="1"/>
          <w:sz w:val="28"/>
          <w:szCs w:val="28"/>
          <w:lang w:eastAsia="ar-SA"/>
        </w:rPr>
        <w:t>.</w:t>
      </w:r>
      <w:r w:rsidR="00F64756">
        <w:rPr>
          <w:kern w:val="1"/>
          <w:sz w:val="28"/>
          <w:szCs w:val="28"/>
          <w:lang w:eastAsia="ar-SA"/>
        </w:rPr>
        <w:t xml:space="preserve"> № 966-КЗ «О муниципальных выборах в Краснодарском крае», руководствуясь уставом Николенского сельского поселения Гулькевичского района</w:t>
      </w:r>
      <w:r w:rsidRPr="006B0B97">
        <w:rPr>
          <w:kern w:val="1"/>
          <w:sz w:val="28"/>
          <w:szCs w:val="28"/>
          <w:lang w:eastAsia="ar-SA"/>
        </w:rPr>
        <w:t>, п о с т а н о в л я ю:</w:t>
      </w:r>
    </w:p>
    <w:p w:rsidR="0040719F" w:rsidRDefault="006B0B97" w:rsidP="0040719F">
      <w:pPr>
        <w:tabs>
          <w:tab w:val="left" w:pos="720"/>
        </w:tabs>
        <w:suppressAutoHyphens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B0B97">
        <w:rPr>
          <w:rFonts w:eastAsia="Arial"/>
          <w:kern w:val="1"/>
          <w:sz w:val="28"/>
          <w:szCs w:val="28"/>
          <w:lang w:eastAsia="ar-SA"/>
        </w:rPr>
        <w:t xml:space="preserve">1. </w:t>
      </w:r>
      <w:r w:rsidR="00227E27">
        <w:rPr>
          <w:rFonts w:eastAsia="Arial"/>
          <w:kern w:val="1"/>
          <w:sz w:val="28"/>
          <w:szCs w:val="28"/>
          <w:lang w:eastAsia="ar-SA"/>
        </w:rPr>
        <w:t xml:space="preserve">Утвердить перечень помещений, предоставляемых зарегистрированным кандидатам, их </w:t>
      </w:r>
      <w:r w:rsidR="00AA1632">
        <w:rPr>
          <w:rFonts w:eastAsia="Arial"/>
          <w:kern w:val="1"/>
          <w:sz w:val="28"/>
          <w:szCs w:val="28"/>
          <w:lang w:eastAsia="ar-SA"/>
        </w:rPr>
        <w:t>доверенным лицам, политическим партиям, выдвинувшим зарегистрированных кандидатов, для проведения агитационных публичных мероприятий при проведении выборов депутатов Совета Николенского сельского поселения Гулькевичского района</w:t>
      </w:r>
      <w:r w:rsidR="00AD3FD3">
        <w:rPr>
          <w:rFonts w:eastAsia="Arial"/>
          <w:kern w:val="1"/>
          <w:sz w:val="28"/>
          <w:szCs w:val="28"/>
          <w:lang w:eastAsia="ar-SA"/>
        </w:rPr>
        <w:t xml:space="preserve"> пятого созыва</w:t>
      </w:r>
      <w:r w:rsidR="00AA1632">
        <w:rPr>
          <w:rFonts w:eastAsia="Arial"/>
          <w:kern w:val="1"/>
          <w:sz w:val="28"/>
          <w:szCs w:val="28"/>
          <w:lang w:eastAsia="ar-SA"/>
        </w:rPr>
        <w:t xml:space="preserve"> в 2024 году (прилагается).</w:t>
      </w:r>
    </w:p>
    <w:p w:rsidR="00CA7811" w:rsidRPr="00CA7811" w:rsidRDefault="00CA7811" w:rsidP="0040719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CA7811">
        <w:rPr>
          <w:sz w:val="28"/>
          <w:szCs w:val="28"/>
        </w:rPr>
        <w:t xml:space="preserve">2. </w:t>
      </w:r>
      <w:r w:rsidR="0040719F">
        <w:rPr>
          <w:sz w:val="28"/>
          <w:szCs w:val="28"/>
        </w:rPr>
        <w:t>О</w:t>
      </w:r>
      <w:r w:rsidRPr="00CA7811">
        <w:rPr>
          <w:sz w:val="28"/>
          <w:szCs w:val="28"/>
        </w:rPr>
        <w:t>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12 августа 2021 г. № 47 «Об определении мест обнародования муниципальных правовых актов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CA7811" w:rsidRPr="00CA7811" w:rsidRDefault="00CA7811" w:rsidP="00BF43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7811">
        <w:rPr>
          <w:sz w:val="28"/>
          <w:szCs w:val="28"/>
        </w:rPr>
        <w:t>1) в здании администрации Николенского сельского поселения Гулькевичского района, расположенного по адресу: с. Николенское, ул. Октябрьская, 86;</w:t>
      </w:r>
    </w:p>
    <w:p w:rsidR="00CA7811" w:rsidRPr="00CA7811" w:rsidRDefault="00CA7811" w:rsidP="00BF43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7811">
        <w:rPr>
          <w:sz w:val="28"/>
          <w:szCs w:val="28"/>
        </w:rPr>
        <w:lastRenderedPageBreak/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    ул. Мира, 23 В и разместить на сайте Николенского сельского поселения Гулькевичского района в информационно – телекоммуникационной сети «Интернет».</w:t>
      </w:r>
    </w:p>
    <w:p w:rsidR="00CA7811" w:rsidRPr="00CA7811" w:rsidRDefault="00CA7811" w:rsidP="00BF43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7811">
        <w:rPr>
          <w:sz w:val="28"/>
          <w:szCs w:val="28"/>
        </w:rPr>
        <w:t>3. Контроль за выполнением настоящего постановления возложить на ведущего специалиста администрации Николенского сельского поселения Гулькевичского района В.В. Чуйкову.</w:t>
      </w:r>
    </w:p>
    <w:p w:rsidR="00CA7811" w:rsidRPr="00CA7811" w:rsidRDefault="00CA7811" w:rsidP="00BF43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7811">
        <w:rPr>
          <w:sz w:val="28"/>
          <w:szCs w:val="28"/>
        </w:rPr>
        <w:t>4. Постановление вступает в силу после его официального обнародования.</w:t>
      </w:r>
    </w:p>
    <w:p w:rsidR="00CA7811" w:rsidRPr="00CA7811" w:rsidRDefault="00CA7811" w:rsidP="00CA781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3041" w:rsidRDefault="00653041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653041" w:rsidRDefault="00653041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Глава Николенского сельского поселения</w:t>
      </w:r>
    </w:p>
    <w:p w:rsidR="00653041" w:rsidRDefault="00653041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Гулькевичского района                                                                    Н.Н. Козин</w:t>
      </w: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5E704B" w:rsidRDefault="005E704B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</w:p>
    <w:p w:rsidR="003340C4" w:rsidRPr="006B0B97" w:rsidRDefault="005E704B" w:rsidP="0040719F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  <w:r>
        <w:rPr>
          <w:rFonts w:eastAsia="Lucida Sans Unicode"/>
          <w:kern w:val="1"/>
          <w:sz w:val="28"/>
          <w:szCs w:val="28"/>
        </w:rPr>
        <w:tab/>
      </w:r>
    </w:p>
    <w:sectPr w:rsidR="003340C4" w:rsidRPr="006B0B97" w:rsidSect="0040719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9E" w:rsidRDefault="00D44D9E" w:rsidP="0040719F">
      <w:r>
        <w:separator/>
      </w:r>
    </w:p>
  </w:endnote>
  <w:endnote w:type="continuationSeparator" w:id="0">
    <w:p w:rsidR="00D44D9E" w:rsidRDefault="00D44D9E" w:rsidP="0040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9E" w:rsidRDefault="00D44D9E" w:rsidP="0040719F">
      <w:r>
        <w:separator/>
      </w:r>
    </w:p>
  </w:footnote>
  <w:footnote w:type="continuationSeparator" w:id="0">
    <w:p w:rsidR="00D44D9E" w:rsidRDefault="00D44D9E" w:rsidP="00407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634431"/>
      <w:docPartObj>
        <w:docPartGallery w:val="Page Numbers (Top of Page)"/>
        <w:docPartUnique/>
      </w:docPartObj>
    </w:sdtPr>
    <w:sdtContent>
      <w:p w:rsidR="0040719F" w:rsidRDefault="004071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336">
          <w:rPr>
            <w:noProof/>
          </w:rPr>
          <w:t>2</w:t>
        </w:r>
        <w:r>
          <w:fldChar w:fldCharType="end"/>
        </w:r>
      </w:p>
    </w:sdtContent>
  </w:sdt>
  <w:p w:rsidR="0040719F" w:rsidRDefault="004071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503"/>
    <w:rsid w:val="000A4793"/>
    <w:rsid w:val="001037F0"/>
    <w:rsid w:val="001107B2"/>
    <w:rsid w:val="00227E27"/>
    <w:rsid w:val="002563DC"/>
    <w:rsid w:val="002E0022"/>
    <w:rsid w:val="003340C4"/>
    <w:rsid w:val="003B40DD"/>
    <w:rsid w:val="0040719F"/>
    <w:rsid w:val="004F27C0"/>
    <w:rsid w:val="00516FAF"/>
    <w:rsid w:val="00536AB8"/>
    <w:rsid w:val="005E6099"/>
    <w:rsid w:val="005E704B"/>
    <w:rsid w:val="00653041"/>
    <w:rsid w:val="00682336"/>
    <w:rsid w:val="0069447A"/>
    <w:rsid w:val="006B0B97"/>
    <w:rsid w:val="00732C94"/>
    <w:rsid w:val="0075751B"/>
    <w:rsid w:val="00787B79"/>
    <w:rsid w:val="007B5A38"/>
    <w:rsid w:val="007F155E"/>
    <w:rsid w:val="008A2212"/>
    <w:rsid w:val="008D3B6E"/>
    <w:rsid w:val="00AA1632"/>
    <w:rsid w:val="00AD3FD3"/>
    <w:rsid w:val="00AE2BB7"/>
    <w:rsid w:val="00B3632C"/>
    <w:rsid w:val="00B45503"/>
    <w:rsid w:val="00B66B03"/>
    <w:rsid w:val="00B74C30"/>
    <w:rsid w:val="00BF4374"/>
    <w:rsid w:val="00CA7811"/>
    <w:rsid w:val="00D16FA8"/>
    <w:rsid w:val="00D27DED"/>
    <w:rsid w:val="00D44D9E"/>
    <w:rsid w:val="00E36E7A"/>
    <w:rsid w:val="00E95DE2"/>
    <w:rsid w:val="00F6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50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74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071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7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71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71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50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74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071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7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71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71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2024-06-24T08:30:00Z</cp:lastPrinted>
  <dcterms:created xsi:type="dcterms:W3CDTF">2024-05-15T07:39:00Z</dcterms:created>
  <dcterms:modified xsi:type="dcterms:W3CDTF">2024-06-24T08:36:00Z</dcterms:modified>
</cp:coreProperties>
</file>