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849"/>
        <w:gridCol w:w="5664"/>
        <w:gridCol w:w="573"/>
        <w:gridCol w:w="1035"/>
      </w:tblGrid>
      <w:tr w:rsidR="00826A32" w:rsidRPr="00826A32" w:rsidTr="008466D8">
        <w:trPr>
          <w:trHeight w:val="2135"/>
        </w:trPr>
        <w:tc>
          <w:tcPr>
            <w:tcW w:w="9540" w:type="dxa"/>
            <w:gridSpan w:val="5"/>
          </w:tcPr>
          <w:p w:rsidR="00826A32" w:rsidRPr="00826A32" w:rsidRDefault="00826A32" w:rsidP="00826A32">
            <w:pPr>
              <w:keepNext/>
              <w:jc w:val="center"/>
              <w:outlineLvl w:val="3"/>
              <w:rPr>
                <w:b/>
                <w:bCs/>
                <w:szCs w:val="20"/>
              </w:rPr>
            </w:pPr>
            <w:r w:rsidRPr="00826A32">
              <w:rPr>
                <w:b/>
                <w:bCs/>
                <w:szCs w:val="20"/>
              </w:rPr>
              <w:t>СОВЕТ НИКОЛЕНСКОГО СЕЛЬСКОГО ПОСЕЛЕНИЯ</w:t>
            </w:r>
          </w:p>
          <w:p w:rsidR="00826A32" w:rsidRPr="00826A32" w:rsidRDefault="00826A32" w:rsidP="00826A32">
            <w:pPr>
              <w:jc w:val="center"/>
              <w:rPr>
                <w:b/>
                <w:bCs/>
                <w:szCs w:val="22"/>
              </w:rPr>
            </w:pPr>
            <w:r w:rsidRPr="00826A32">
              <w:rPr>
                <w:b/>
                <w:bCs/>
                <w:szCs w:val="22"/>
              </w:rPr>
              <w:t>ГУЛЬКЕВИЧСКОГО РАЙОНА</w:t>
            </w:r>
          </w:p>
          <w:p w:rsidR="00826A32" w:rsidRPr="00826A32" w:rsidRDefault="00826A32" w:rsidP="00826A32">
            <w:pPr>
              <w:jc w:val="center"/>
              <w:rPr>
                <w:b/>
                <w:bCs/>
                <w:szCs w:val="22"/>
              </w:rPr>
            </w:pPr>
          </w:p>
          <w:p w:rsidR="00826A32" w:rsidRPr="00826A32" w:rsidRDefault="00826A32" w:rsidP="00826A32">
            <w:pPr>
              <w:jc w:val="center"/>
              <w:rPr>
                <w:b/>
                <w:bCs/>
                <w:szCs w:val="22"/>
              </w:rPr>
            </w:pPr>
            <w:r w:rsidRPr="00826A32">
              <w:rPr>
                <w:b/>
                <w:bCs/>
                <w:szCs w:val="22"/>
              </w:rPr>
              <w:t>РЕШЕНИЕ</w:t>
            </w:r>
          </w:p>
          <w:p w:rsidR="00826A32" w:rsidRPr="00826A32" w:rsidRDefault="008466D8" w:rsidP="00826A32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29</w:t>
            </w:r>
            <w:r w:rsidR="00DC0D77">
              <w:rPr>
                <w:b/>
                <w:bCs/>
                <w:szCs w:val="22"/>
              </w:rPr>
              <w:t xml:space="preserve"> сессии </w:t>
            </w:r>
            <w:r>
              <w:rPr>
                <w:b/>
                <w:bCs/>
                <w:szCs w:val="22"/>
                <w:lang w:val="en-US"/>
              </w:rPr>
              <w:t>IV</w:t>
            </w:r>
            <w:r w:rsidR="00826A32" w:rsidRPr="00826A32">
              <w:rPr>
                <w:b/>
                <w:bCs/>
                <w:szCs w:val="22"/>
              </w:rPr>
              <w:t xml:space="preserve"> созыва</w:t>
            </w:r>
          </w:p>
          <w:p w:rsidR="00826A32" w:rsidRPr="00826A32" w:rsidRDefault="00826A32" w:rsidP="00BA4F61">
            <w:pPr>
              <w:jc w:val="center"/>
              <w:rPr>
                <w:vanish/>
                <w:szCs w:val="28"/>
              </w:rPr>
            </w:pPr>
          </w:p>
        </w:tc>
      </w:tr>
      <w:tr w:rsidR="00907FAA" w:rsidRPr="00826A32" w:rsidTr="00907FAA">
        <w:tc>
          <w:tcPr>
            <w:tcW w:w="419" w:type="dxa"/>
            <w:hideMark/>
          </w:tcPr>
          <w:p w:rsidR="00907FAA" w:rsidRPr="00826A32" w:rsidRDefault="00907FAA" w:rsidP="008466D8">
            <w:pPr>
              <w:keepNext/>
              <w:jc w:val="both"/>
              <w:outlineLvl w:val="1"/>
              <w:rPr>
                <w:vanish/>
                <w:szCs w:val="20"/>
              </w:rPr>
            </w:pPr>
            <w:r>
              <w:rPr>
                <w:szCs w:val="20"/>
              </w:rPr>
              <w:t>от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907FAA" w:rsidRPr="00ED0CFF" w:rsidRDefault="00ED0CFF" w:rsidP="00BA4F61">
            <w:pPr>
              <w:jc w:val="center"/>
              <w:rPr>
                <w:vanish/>
                <w:szCs w:val="20"/>
              </w:rPr>
            </w:pPr>
            <w:r w:rsidRPr="00ED0CFF">
              <w:rPr>
                <w:bCs/>
                <w:szCs w:val="28"/>
              </w:rPr>
              <w:t>29.04.2022</w:t>
            </w:r>
          </w:p>
        </w:tc>
        <w:tc>
          <w:tcPr>
            <w:tcW w:w="5664" w:type="dxa"/>
          </w:tcPr>
          <w:p w:rsidR="00907FAA" w:rsidRPr="00826A32" w:rsidRDefault="00907FAA" w:rsidP="00826A32">
            <w:pPr>
              <w:jc w:val="both"/>
              <w:rPr>
                <w:sz w:val="24"/>
                <w:szCs w:val="20"/>
              </w:rPr>
            </w:pPr>
          </w:p>
        </w:tc>
        <w:tc>
          <w:tcPr>
            <w:tcW w:w="573" w:type="dxa"/>
            <w:hideMark/>
          </w:tcPr>
          <w:p w:rsidR="00907FAA" w:rsidRPr="00826A32" w:rsidRDefault="00907FAA" w:rsidP="00907FAA">
            <w:pPr>
              <w:ind w:left="250"/>
              <w:jc w:val="both"/>
              <w:rPr>
                <w:b/>
                <w:sz w:val="24"/>
                <w:szCs w:val="20"/>
              </w:rPr>
            </w:pPr>
            <w:r w:rsidRPr="00826A32">
              <w:rPr>
                <w:b/>
                <w:sz w:val="24"/>
                <w:szCs w:val="20"/>
              </w:rPr>
              <w:t>№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907FAA" w:rsidRPr="00ED0CFF" w:rsidRDefault="00D15A59" w:rsidP="00D15A59">
            <w:pPr>
              <w:jc w:val="center"/>
              <w:rPr>
                <w:sz w:val="24"/>
                <w:szCs w:val="20"/>
              </w:rPr>
            </w:pPr>
            <w:r w:rsidRPr="00ED0CFF">
              <w:rPr>
                <w:sz w:val="24"/>
                <w:szCs w:val="20"/>
              </w:rPr>
              <w:t>4</w:t>
            </w:r>
          </w:p>
        </w:tc>
      </w:tr>
      <w:tr w:rsidR="00826A32" w:rsidRPr="00826A32" w:rsidTr="008466D8">
        <w:trPr>
          <w:trHeight w:val="200"/>
        </w:trPr>
        <w:tc>
          <w:tcPr>
            <w:tcW w:w="9540" w:type="dxa"/>
            <w:gridSpan w:val="5"/>
            <w:hideMark/>
          </w:tcPr>
          <w:p w:rsidR="00826A32" w:rsidRPr="00826A32" w:rsidRDefault="00826A32" w:rsidP="00826A32">
            <w:pPr>
              <w:jc w:val="center"/>
              <w:rPr>
                <w:szCs w:val="20"/>
              </w:rPr>
            </w:pPr>
            <w:r w:rsidRPr="00826A32">
              <w:rPr>
                <w:b/>
                <w:sz w:val="24"/>
                <w:szCs w:val="28"/>
              </w:rPr>
              <w:t>село Николенское</w:t>
            </w:r>
          </w:p>
        </w:tc>
      </w:tr>
      <w:tr w:rsidR="00826A32" w:rsidRPr="00826A32" w:rsidTr="008466D8">
        <w:trPr>
          <w:cantSplit/>
          <w:trHeight w:val="245"/>
        </w:trPr>
        <w:tc>
          <w:tcPr>
            <w:tcW w:w="9540" w:type="dxa"/>
            <w:gridSpan w:val="5"/>
          </w:tcPr>
          <w:p w:rsidR="00826A32" w:rsidRPr="00826A32" w:rsidRDefault="00826A32" w:rsidP="00826A32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826A32" w:rsidRPr="00826A32" w:rsidTr="008466D8">
        <w:trPr>
          <w:cantSplit/>
          <w:trHeight w:val="245"/>
        </w:trPr>
        <w:tc>
          <w:tcPr>
            <w:tcW w:w="9540" w:type="dxa"/>
            <w:gridSpan w:val="5"/>
          </w:tcPr>
          <w:p w:rsidR="00826A32" w:rsidRPr="00826A32" w:rsidRDefault="00826A32" w:rsidP="005D3D1C">
            <w:pPr>
              <w:pStyle w:val="a3"/>
              <w:ind w:left="639" w:right="823"/>
              <w:rPr>
                <w:szCs w:val="28"/>
              </w:rPr>
            </w:pPr>
            <w:r>
              <w:t>Об утверждении годового отчета об исполнении бюджета Николенского сельского поселения Гулькевичского района за</w:t>
            </w:r>
            <w:r w:rsidR="00131DAE">
              <w:t xml:space="preserve"> 2021</w:t>
            </w:r>
            <w:r>
              <w:t xml:space="preserve"> год</w:t>
            </w:r>
          </w:p>
        </w:tc>
      </w:tr>
      <w:tr w:rsidR="00826A32" w:rsidRPr="00826A32" w:rsidTr="008466D8">
        <w:trPr>
          <w:cantSplit/>
          <w:trHeight w:val="245"/>
        </w:trPr>
        <w:tc>
          <w:tcPr>
            <w:tcW w:w="9540" w:type="dxa"/>
            <w:gridSpan w:val="5"/>
          </w:tcPr>
          <w:p w:rsidR="00826A32" w:rsidRPr="00826A32" w:rsidRDefault="00826A32" w:rsidP="00826A32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5D3D1C" w:rsidRDefault="00826A32" w:rsidP="005D3D1C">
      <w:pPr>
        <w:pStyle w:val="a3"/>
        <w:ind w:firstLine="709"/>
        <w:jc w:val="both"/>
        <w:rPr>
          <w:b w:val="0"/>
          <w:bCs w:val="0"/>
          <w:spacing w:val="20"/>
        </w:rPr>
      </w:pPr>
      <w:r>
        <w:rPr>
          <w:b w:val="0"/>
          <w:bCs w:val="0"/>
        </w:rPr>
        <w:t>В соответствии со статьей 24</w:t>
      </w:r>
      <w:r>
        <w:rPr>
          <w:b w:val="0"/>
          <w:bCs w:val="0"/>
          <w:color w:val="FF0000"/>
        </w:rPr>
        <w:t xml:space="preserve"> </w:t>
      </w:r>
      <w:r>
        <w:rPr>
          <w:b w:val="0"/>
          <w:bCs w:val="0"/>
        </w:rPr>
        <w:t>Положения о бюджетном процессе в Николенском сельском поселении Гулькевичского р</w:t>
      </w:r>
      <w:r w:rsidR="00440900">
        <w:rPr>
          <w:b w:val="0"/>
          <w:bCs w:val="0"/>
        </w:rPr>
        <w:t>айона, утвержденного решением 30 сессии 3</w:t>
      </w:r>
      <w:r>
        <w:rPr>
          <w:b w:val="0"/>
          <w:bCs w:val="0"/>
        </w:rPr>
        <w:t xml:space="preserve"> созыва Совета Николенского сельского посел</w:t>
      </w:r>
      <w:r w:rsidR="00440900">
        <w:rPr>
          <w:b w:val="0"/>
          <w:bCs w:val="0"/>
        </w:rPr>
        <w:t>ения Гулькевичского района от 21</w:t>
      </w:r>
      <w:r>
        <w:rPr>
          <w:b w:val="0"/>
          <w:bCs w:val="0"/>
        </w:rPr>
        <w:t xml:space="preserve"> </w:t>
      </w:r>
      <w:r w:rsidR="00440900">
        <w:rPr>
          <w:b w:val="0"/>
          <w:bCs w:val="0"/>
        </w:rPr>
        <w:t>октября 2016 г</w:t>
      </w:r>
      <w:r w:rsidR="00FF2932">
        <w:rPr>
          <w:b w:val="0"/>
          <w:bCs w:val="0"/>
        </w:rPr>
        <w:t>.</w:t>
      </w:r>
      <w:r w:rsidR="00440900">
        <w:rPr>
          <w:b w:val="0"/>
          <w:bCs w:val="0"/>
        </w:rPr>
        <w:t xml:space="preserve"> № 1</w:t>
      </w:r>
      <w:r>
        <w:rPr>
          <w:b w:val="0"/>
          <w:bCs w:val="0"/>
        </w:rPr>
        <w:t xml:space="preserve"> «Об утверждении положения о бюджетном процессе в Николенском сельском поселении Гулькевичского района», Совет Николенского сельского поселения Гулькевичского района </w:t>
      </w:r>
      <w:r>
        <w:rPr>
          <w:b w:val="0"/>
          <w:bCs w:val="0"/>
          <w:spacing w:val="20"/>
        </w:rPr>
        <w:t>решил:</w:t>
      </w:r>
    </w:p>
    <w:p w:rsidR="00A65A28" w:rsidRDefault="00826A32" w:rsidP="00A65A28">
      <w:pPr>
        <w:pStyle w:val="a3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1.</w:t>
      </w:r>
      <w:r w:rsidR="005D3D1C">
        <w:rPr>
          <w:b w:val="0"/>
          <w:bCs w:val="0"/>
        </w:rPr>
        <w:t xml:space="preserve"> </w:t>
      </w:r>
      <w:r>
        <w:rPr>
          <w:b w:val="0"/>
          <w:bCs w:val="0"/>
        </w:rPr>
        <w:t>Утвердить годовой отчет об исполнении бюджета Николенского сельского поселен</w:t>
      </w:r>
      <w:r w:rsidR="00131DAE">
        <w:rPr>
          <w:b w:val="0"/>
          <w:bCs w:val="0"/>
        </w:rPr>
        <w:t>ия Гулькевичского района за 2021</w:t>
      </w:r>
      <w:r>
        <w:rPr>
          <w:b w:val="0"/>
          <w:bCs w:val="0"/>
        </w:rPr>
        <w:t xml:space="preserve"> год по доходам в сумме </w:t>
      </w:r>
      <w:r w:rsidR="00131DAE">
        <w:rPr>
          <w:b w:val="0"/>
          <w:bCs w:val="0"/>
        </w:rPr>
        <w:t>14212,8</w:t>
      </w:r>
      <w:r>
        <w:rPr>
          <w:b w:val="0"/>
          <w:bCs w:val="0"/>
        </w:rPr>
        <w:t xml:space="preserve"> тыс.</w:t>
      </w:r>
      <w:r w:rsidR="003E5AE8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рублей, по расходам в сумме </w:t>
      </w:r>
      <w:r w:rsidR="00131DAE">
        <w:rPr>
          <w:b w:val="0"/>
          <w:bCs w:val="0"/>
        </w:rPr>
        <w:t>15015,9</w:t>
      </w:r>
      <w:r>
        <w:rPr>
          <w:b w:val="0"/>
          <w:bCs w:val="0"/>
        </w:rPr>
        <w:t xml:space="preserve"> тыс. рублей, по источникам финансирования дефицита бюджета в сумме </w:t>
      </w:r>
      <w:r w:rsidR="00B76227">
        <w:rPr>
          <w:b w:val="0"/>
          <w:bCs w:val="0"/>
        </w:rPr>
        <w:t>–</w:t>
      </w:r>
      <w:r w:rsidR="00BA64D8">
        <w:rPr>
          <w:b w:val="0"/>
          <w:bCs w:val="0"/>
        </w:rPr>
        <w:t xml:space="preserve"> </w:t>
      </w:r>
      <w:r w:rsidR="0004714C">
        <w:rPr>
          <w:b w:val="0"/>
          <w:bCs w:val="0"/>
        </w:rPr>
        <w:t>-299,8</w:t>
      </w:r>
      <w:r>
        <w:rPr>
          <w:b w:val="0"/>
          <w:bCs w:val="0"/>
        </w:rPr>
        <w:t xml:space="preserve"> тыс. руб.</w:t>
      </w:r>
    </w:p>
    <w:p w:rsidR="00826A32" w:rsidRPr="00A65A28" w:rsidRDefault="00826A32" w:rsidP="00A65A28">
      <w:pPr>
        <w:pStyle w:val="a3"/>
        <w:ind w:firstLine="709"/>
        <w:jc w:val="both"/>
        <w:rPr>
          <w:b w:val="0"/>
          <w:szCs w:val="28"/>
        </w:rPr>
      </w:pPr>
      <w:r w:rsidRPr="00A65A28">
        <w:rPr>
          <w:b w:val="0"/>
          <w:szCs w:val="28"/>
        </w:rPr>
        <w:t>1.1 Утвердить показатели исполнения доходов бюджета Николенского сельского поселен</w:t>
      </w:r>
      <w:r w:rsidR="0004714C" w:rsidRPr="00A65A28">
        <w:rPr>
          <w:b w:val="0"/>
          <w:szCs w:val="28"/>
        </w:rPr>
        <w:t>ия Гулькевичского района за 2021</w:t>
      </w:r>
      <w:r w:rsidRPr="00A65A28">
        <w:rPr>
          <w:b w:val="0"/>
          <w:szCs w:val="28"/>
        </w:rPr>
        <w:t xml:space="preserve"> год по кодам классификации доходов Николенского сельского поселения Гулькевичского района (приложение № 1).</w:t>
      </w:r>
    </w:p>
    <w:p w:rsidR="00826A32" w:rsidRDefault="00826A32" w:rsidP="00A65A28">
      <w:pPr>
        <w:ind w:firstLine="709"/>
        <w:jc w:val="both"/>
        <w:rPr>
          <w:szCs w:val="28"/>
        </w:rPr>
      </w:pPr>
      <w:r>
        <w:rPr>
          <w:szCs w:val="28"/>
        </w:rPr>
        <w:t>1.2 Утвердить показатели исполнения доходов бюджета по кодам доходов, подвидов доходов, классификации операций сектора государственного управления, относящихся к доходам Николенского сельского поселен</w:t>
      </w:r>
      <w:r w:rsidR="0004714C">
        <w:rPr>
          <w:szCs w:val="28"/>
        </w:rPr>
        <w:t>ия Гулькевичского района за 2021</w:t>
      </w:r>
      <w:r>
        <w:rPr>
          <w:szCs w:val="28"/>
        </w:rPr>
        <w:t xml:space="preserve"> год (приложение № 2).</w:t>
      </w:r>
    </w:p>
    <w:p w:rsidR="00826A32" w:rsidRDefault="00826A32" w:rsidP="00A65A28">
      <w:pPr>
        <w:ind w:firstLine="709"/>
        <w:jc w:val="both"/>
        <w:rPr>
          <w:szCs w:val="28"/>
        </w:rPr>
      </w:pPr>
      <w:r>
        <w:rPr>
          <w:szCs w:val="28"/>
        </w:rPr>
        <w:t>1.3 Утвердить показатели исполнения расходов бюджета Николенского сельского поселения Гулькевичского</w:t>
      </w:r>
      <w:r w:rsidR="0004714C">
        <w:rPr>
          <w:szCs w:val="28"/>
        </w:rPr>
        <w:t xml:space="preserve"> района за 2021</w:t>
      </w:r>
      <w:r>
        <w:rPr>
          <w:szCs w:val="28"/>
        </w:rPr>
        <w:t xml:space="preserve"> год по разделам, подразделам функциональной классификации расходов бюджетов Российской Федерации (приложение № 3).</w:t>
      </w:r>
    </w:p>
    <w:p w:rsidR="00826A32" w:rsidRDefault="00826A32" w:rsidP="00A65A28">
      <w:pPr>
        <w:ind w:firstLine="709"/>
        <w:jc w:val="both"/>
        <w:rPr>
          <w:szCs w:val="28"/>
        </w:rPr>
      </w:pPr>
      <w:r>
        <w:rPr>
          <w:szCs w:val="28"/>
        </w:rPr>
        <w:t>1.4 Утвердить показатели исполнения расходов бюджета по ведомственной структуре расходов бюджета Николенского сельского поселен</w:t>
      </w:r>
      <w:r w:rsidR="0004714C">
        <w:rPr>
          <w:szCs w:val="28"/>
        </w:rPr>
        <w:t>ия Гулькевичского района за 2021</w:t>
      </w:r>
      <w:r>
        <w:rPr>
          <w:szCs w:val="28"/>
        </w:rPr>
        <w:t xml:space="preserve"> год (приложение № 4).</w:t>
      </w:r>
    </w:p>
    <w:p w:rsidR="00826A32" w:rsidRDefault="00826A32" w:rsidP="00A65A28">
      <w:pPr>
        <w:ind w:firstLine="709"/>
        <w:jc w:val="both"/>
        <w:rPr>
          <w:szCs w:val="28"/>
        </w:rPr>
      </w:pPr>
      <w:r>
        <w:rPr>
          <w:szCs w:val="28"/>
        </w:rPr>
        <w:t>1.5 Утвердить показатели исполнения расходов бюджета Николенского сельского поселен</w:t>
      </w:r>
      <w:r w:rsidR="0004714C">
        <w:rPr>
          <w:szCs w:val="28"/>
        </w:rPr>
        <w:t>ия Гулькевичского района за 2021</w:t>
      </w:r>
      <w:r>
        <w:rPr>
          <w:szCs w:val="28"/>
        </w:rPr>
        <w:t xml:space="preserve"> год по функциональной классификации расходов (разделам, подразделам, целевым статьям и видов расходов) бюджетов Российской Федерации (приложение № 5).</w:t>
      </w:r>
    </w:p>
    <w:p w:rsidR="00826A32" w:rsidRDefault="00826A32" w:rsidP="00A65A28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1.6 Утвердить показатели исполнения источников внутреннего финансирования дефицита бюджета Николенского сельского поселен</w:t>
      </w:r>
      <w:r w:rsidR="0004714C">
        <w:rPr>
          <w:szCs w:val="28"/>
        </w:rPr>
        <w:t>ия Гулькевичского района за 2021</w:t>
      </w:r>
      <w:r>
        <w:rPr>
          <w:szCs w:val="28"/>
        </w:rPr>
        <w:t xml:space="preserve"> год по кодам классификации бюджетов Российской Федерации (приложение № 6).</w:t>
      </w:r>
    </w:p>
    <w:p w:rsidR="00826A32" w:rsidRDefault="00826A32" w:rsidP="00A65A28">
      <w:pPr>
        <w:ind w:firstLine="709"/>
        <w:jc w:val="both"/>
        <w:rPr>
          <w:szCs w:val="28"/>
        </w:rPr>
      </w:pPr>
      <w:r>
        <w:rPr>
          <w:szCs w:val="28"/>
        </w:rPr>
        <w:t>1.7 Утвердить показатели исполнения источников внутреннего финансирования дефицита бюджета Николенского сельского поселен</w:t>
      </w:r>
      <w:r w:rsidR="0004714C">
        <w:rPr>
          <w:szCs w:val="28"/>
        </w:rPr>
        <w:t>ия Гулькевичского района за 2021</w:t>
      </w:r>
      <w:r w:rsidR="00B76227">
        <w:rPr>
          <w:szCs w:val="28"/>
        </w:rPr>
        <w:t xml:space="preserve"> </w:t>
      </w:r>
      <w:r>
        <w:rPr>
          <w:szCs w:val="28"/>
        </w:rPr>
        <w:t>год по кодам групп, подгрупп, статей, видов источников финансирования дефицита  бюджетов, классификации сектора государственного управления, относящихся к источникам внутреннего финансирования дефицита бюджетов  Российской Федерации (приложение № 7).</w:t>
      </w:r>
    </w:p>
    <w:p w:rsidR="00826A32" w:rsidRDefault="00826A32" w:rsidP="00204FFE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B76227">
        <w:rPr>
          <w:szCs w:val="28"/>
        </w:rPr>
        <w:t>Обнародовать</w:t>
      </w:r>
      <w:r>
        <w:rPr>
          <w:szCs w:val="28"/>
        </w:rPr>
        <w:t xml:space="preserve"> наст</w:t>
      </w:r>
      <w:r w:rsidR="00B76227">
        <w:rPr>
          <w:szCs w:val="28"/>
        </w:rPr>
        <w:t>оящее решение</w:t>
      </w:r>
      <w:r>
        <w:rPr>
          <w:szCs w:val="28"/>
        </w:rPr>
        <w:t>.</w:t>
      </w:r>
    </w:p>
    <w:p w:rsidR="00BA4F61" w:rsidRDefault="00826A32" w:rsidP="00BA4F61">
      <w:pPr>
        <w:ind w:firstLine="709"/>
        <w:jc w:val="both"/>
        <w:rPr>
          <w:szCs w:val="28"/>
        </w:rPr>
      </w:pPr>
      <w:r>
        <w:rPr>
          <w:szCs w:val="28"/>
        </w:rPr>
        <w:t>3. Администрации Николенского сельского поселения Гулькевичского района</w:t>
      </w:r>
      <w:r w:rsidR="00BA4F61">
        <w:rPr>
          <w:szCs w:val="28"/>
        </w:rPr>
        <w:t>:</w:t>
      </w:r>
    </w:p>
    <w:p w:rsidR="00BA4F61" w:rsidRDefault="00826A32" w:rsidP="00BA4F61">
      <w:pPr>
        <w:ind w:firstLine="709"/>
        <w:jc w:val="both"/>
        <w:rPr>
          <w:szCs w:val="28"/>
        </w:rPr>
      </w:pPr>
      <w:r>
        <w:rPr>
          <w:szCs w:val="28"/>
        </w:rPr>
        <w:t>3.1 в порядке взаимодействия с администраторами доходов осуществлять действенные меры на увеличение доходной части бюджета Николенского сельского поселения Гулькевичского района.</w:t>
      </w:r>
    </w:p>
    <w:p w:rsidR="00BA4F61" w:rsidRDefault="00826A32" w:rsidP="00BA4F61">
      <w:pPr>
        <w:ind w:firstLine="709"/>
        <w:jc w:val="both"/>
        <w:rPr>
          <w:szCs w:val="28"/>
        </w:rPr>
      </w:pPr>
      <w:r>
        <w:rPr>
          <w:szCs w:val="28"/>
        </w:rPr>
        <w:t>3.2 в целях достижения наилучших результатов при использовании определенного бюджетом объема средств руководствоваться  принципом результативности и эффективности использования бюджетных средств.</w:t>
      </w:r>
    </w:p>
    <w:p w:rsidR="00BA4F61" w:rsidRDefault="00826A32" w:rsidP="00BA4F61">
      <w:pPr>
        <w:ind w:firstLine="709"/>
        <w:jc w:val="both"/>
        <w:rPr>
          <w:szCs w:val="28"/>
        </w:rPr>
      </w:pPr>
      <w:r>
        <w:rPr>
          <w:szCs w:val="28"/>
        </w:rPr>
        <w:t>3.3. Координаторам целевых программ приводить в соответствие объем финансирования мероприятий целевых программ согласно фактически выделенных бюджетных ассигнований на реализацию целевых программ, а также своевременно вносить изменения в нормативно-правовые акты.</w:t>
      </w:r>
    </w:p>
    <w:p w:rsidR="00BA4F61" w:rsidRDefault="00826A32" w:rsidP="00BA4F61">
      <w:pPr>
        <w:ind w:firstLine="709"/>
        <w:jc w:val="both"/>
        <w:rPr>
          <w:szCs w:val="28"/>
        </w:rPr>
      </w:pPr>
      <w:r>
        <w:rPr>
          <w:szCs w:val="28"/>
        </w:rPr>
        <w:t>3.4. Главным распорядителям в целях рационального использования средств бюджета вести строгий контроль за объемом принятых бюджетных обязательств.</w:t>
      </w:r>
    </w:p>
    <w:p w:rsidR="00BA4F61" w:rsidRDefault="00826A32" w:rsidP="00BA4F61">
      <w:pPr>
        <w:ind w:firstLine="709"/>
        <w:jc w:val="both"/>
        <w:rPr>
          <w:bCs/>
        </w:rPr>
      </w:pPr>
      <w:r>
        <w:rPr>
          <w:bCs/>
        </w:rPr>
        <w:t>4. Контроль за выполнением настоящего решения возложить на постоянно действующую комиссию Совета Николенского сельского поселения Гулькевичского района по бюджету</w:t>
      </w:r>
      <w:r>
        <w:rPr>
          <w:sz w:val="20"/>
        </w:rPr>
        <w:t xml:space="preserve">, </w:t>
      </w:r>
      <w:r>
        <w:rPr>
          <w:bCs/>
        </w:rPr>
        <w:t>налогам, сборам, муниципальной собственности, экономике, торговле, предпринимательству и инвестиционной политике.</w:t>
      </w:r>
    </w:p>
    <w:p w:rsidR="00826A32" w:rsidRDefault="00826A32" w:rsidP="00BA4F61">
      <w:pPr>
        <w:ind w:firstLine="709"/>
        <w:jc w:val="both"/>
        <w:rPr>
          <w:szCs w:val="28"/>
        </w:rPr>
      </w:pPr>
      <w:r>
        <w:rPr>
          <w:bCs/>
        </w:rPr>
        <w:t xml:space="preserve">5. Решение вступает в силу </w:t>
      </w:r>
      <w:r w:rsidR="00C83037">
        <w:rPr>
          <w:bCs/>
        </w:rPr>
        <w:t>после</w:t>
      </w:r>
      <w:bookmarkStart w:id="0" w:name="_GoBack"/>
      <w:bookmarkEnd w:id="0"/>
      <w:r>
        <w:rPr>
          <w:bCs/>
        </w:rPr>
        <w:t xml:space="preserve"> его </w:t>
      </w:r>
      <w:r w:rsidR="00BE7A6D">
        <w:rPr>
          <w:bCs/>
        </w:rPr>
        <w:t>обнародования</w:t>
      </w:r>
      <w:r>
        <w:rPr>
          <w:bCs/>
        </w:rPr>
        <w:t>.</w:t>
      </w:r>
    </w:p>
    <w:p w:rsidR="00826A32" w:rsidRDefault="00826A32" w:rsidP="00826A32">
      <w:pPr>
        <w:pStyle w:val="a3"/>
        <w:jc w:val="both"/>
        <w:rPr>
          <w:b w:val="0"/>
          <w:bCs w:val="0"/>
        </w:rPr>
      </w:pPr>
    </w:p>
    <w:p w:rsidR="00826A32" w:rsidRDefault="00826A32" w:rsidP="00826A32">
      <w:pPr>
        <w:pStyle w:val="a3"/>
        <w:jc w:val="both"/>
        <w:rPr>
          <w:b w:val="0"/>
          <w:bCs w:val="0"/>
        </w:rPr>
      </w:pPr>
    </w:p>
    <w:p w:rsidR="00826A32" w:rsidRDefault="00826A32" w:rsidP="00826A32">
      <w:pPr>
        <w:pStyle w:val="a3"/>
        <w:jc w:val="both"/>
        <w:rPr>
          <w:b w:val="0"/>
          <w:bCs w:val="0"/>
        </w:rPr>
      </w:pPr>
      <w:r>
        <w:rPr>
          <w:b w:val="0"/>
          <w:bCs w:val="0"/>
        </w:rPr>
        <w:t>Глава Николенского сельского поселения</w:t>
      </w:r>
    </w:p>
    <w:p w:rsidR="0084042A" w:rsidRDefault="00826A32" w:rsidP="00BA4F61">
      <w:pPr>
        <w:pStyle w:val="a3"/>
        <w:jc w:val="both"/>
      </w:pPr>
      <w:r>
        <w:rPr>
          <w:b w:val="0"/>
          <w:bCs w:val="0"/>
        </w:rPr>
        <w:t xml:space="preserve">Гулькевичского района                                                                 </w:t>
      </w:r>
      <w:r w:rsidR="00BA64D8">
        <w:rPr>
          <w:b w:val="0"/>
          <w:bCs w:val="0"/>
        </w:rPr>
        <w:t>Д.А. Пахомов</w:t>
      </w:r>
    </w:p>
    <w:sectPr w:rsidR="0084042A" w:rsidSect="00D15A5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526" w:rsidRDefault="00617526" w:rsidP="00826A32">
      <w:r>
        <w:separator/>
      </w:r>
    </w:p>
  </w:endnote>
  <w:endnote w:type="continuationSeparator" w:id="0">
    <w:p w:rsidR="00617526" w:rsidRDefault="00617526" w:rsidP="0082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526" w:rsidRDefault="00617526" w:rsidP="00826A32">
      <w:r>
        <w:separator/>
      </w:r>
    </w:p>
  </w:footnote>
  <w:footnote w:type="continuationSeparator" w:id="0">
    <w:p w:rsidR="00617526" w:rsidRDefault="00617526" w:rsidP="00826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730206"/>
      <w:docPartObj>
        <w:docPartGallery w:val="Page Numbers (Top of Page)"/>
        <w:docPartUnique/>
      </w:docPartObj>
    </w:sdtPr>
    <w:sdtEndPr/>
    <w:sdtContent>
      <w:p w:rsidR="00D15A59" w:rsidRDefault="00D15A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037">
          <w:rPr>
            <w:noProof/>
          </w:rPr>
          <w:t>2</w:t>
        </w:r>
        <w:r>
          <w:fldChar w:fldCharType="end"/>
        </w:r>
      </w:p>
    </w:sdtContent>
  </w:sdt>
  <w:p w:rsidR="00D15A59" w:rsidRDefault="00D15A5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32"/>
    <w:rsid w:val="0004714C"/>
    <w:rsid w:val="00131DAE"/>
    <w:rsid w:val="00175337"/>
    <w:rsid w:val="00204FFE"/>
    <w:rsid w:val="003E5AE8"/>
    <w:rsid w:val="00424F75"/>
    <w:rsid w:val="00440900"/>
    <w:rsid w:val="00471178"/>
    <w:rsid w:val="005D3D1C"/>
    <w:rsid w:val="00617526"/>
    <w:rsid w:val="00641A13"/>
    <w:rsid w:val="00826A32"/>
    <w:rsid w:val="0084042A"/>
    <w:rsid w:val="008466D8"/>
    <w:rsid w:val="00867B89"/>
    <w:rsid w:val="00907FAA"/>
    <w:rsid w:val="00A65A28"/>
    <w:rsid w:val="00B50643"/>
    <w:rsid w:val="00B76227"/>
    <w:rsid w:val="00BA4F61"/>
    <w:rsid w:val="00BA64D8"/>
    <w:rsid w:val="00BD7DEE"/>
    <w:rsid w:val="00BE7A6D"/>
    <w:rsid w:val="00C83037"/>
    <w:rsid w:val="00D15A59"/>
    <w:rsid w:val="00DB3ED3"/>
    <w:rsid w:val="00DB563D"/>
    <w:rsid w:val="00DB6B56"/>
    <w:rsid w:val="00DC0D77"/>
    <w:rsid w:val="00E009F7"/>
    <w:rsid w:val="00E26218"/>
    <w:rsid w:val="00EA2A24"/>
    <w:rsid w:val="00EA61F1"/>
    <w:rsid w:val="00ED0460"/>
    <w:rsid w:val="00ED0CFF"/>
    <w:rsid w:val="00F531F9"/>
    <w:rsid w:val="00F97264"/>
    <w:rsid w:val="00FF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A3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26A32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826A3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826A32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826A3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26A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6A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26A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6A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61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61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A3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26A32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826A3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826A32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826A3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26A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6A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26A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6A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61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61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2022-05-04T10:36:00Z</cp:lastPrinted>
  <dcterms:created xsi:type="dcterms:W3CDTF">2022-05-04T10:37:00Z</dcterms:created>
  <dcterms:modified xsi:type="dcterms:W3CDTF">2022-05-05T06:44:00Z</dcterms:modified>
</cp:coreProperties>
</file>